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95 vom 16. Juni 1978</w:t>
      </w:r>
    </w:p>
    <w:p>
      <w:r>
        <w:t>Bundesgericht (BGE), 1978-06-16, DE</w:t>
      </w:r>
    </w:p>
    <w:p>
      <w:r>
        <w:rPr>
          <w:b/>
        </w:rPr>
        <w:t xml:space="preserve">Quelle: </w:t>
      </w:r>
      <w:r>
        <w:t>https://mcp.opencaselaw.ch/entscheid/bge_104 IB 95</w:t>
      </w:r>
    </w:p>
    <w:p>
      <w:r>
        <w:t>FR: BGE 104 IB 95 du 16 juin 1978</w:t>
      </w:r>
    </w:p>
    <w:p>
      <w:r>
        <w:t>IT: BGE 104 IB 95 del 16 giugno 1978</w:t>
      </w:r>
    </w:p>
    <w:p>
      <w:pPr>
        <w:pStyle w:val="Heading2"/>
      </w:pPr>
      <w:r>
        <w:t>Regeste</w:t>
      </w:r>
    </w:p>
    <w:p>
      <w:r>
        <w:t>Regeste Entzug des Führerausweises wegen Verwendung eines Fahrzeugs zu deliktischen Zwecken (Art. 16 Abs. 3 lit. f SVG). 1. Ein Charaktermangel wie Arbeitsscheu und gemeine Delikte rechtfertigen für sich allein einen Sicherungsentzug gemäss Art. 16 Abs. 1 in Verbindung mit Art. 14 Abs. 2 lit. d SVG nicht, wenn keine für die Eignung im Verkehr erheblichen Hinweise vorliegen (Erw. 1). 2. Im vorliegenden Fall sind die Voraussetzungen für einen zeitlich beschränkten Entzug nach Art. 16 Abs. 3 lit. f SVG gegeben (Erw. 2 und 3).</w:t>
      </w:r>
    </w:p>
    <w:p>
      <w:pPr>
        <w:pStyle w:val="Heading2"/>
      </w:pPr>
      <w:r>
        <w:t>Erwägungen</w:t>
      </w:r>
    </w:p>
    <w:p>
      <w:r>
        <w:rPr>
          <w:b/>
        </w:rPr>
        <w:t>E. 1</w:t>
      </w:r>
    </w:p>
    <w:p>
      <w:r>
        <w:t>Nach Art. 16 Abs. 1 in Verbindung mit Art. 14 Abs. 2 lit. d SVG ist der Führerausweis zu entziehen, wenn der Führer nach seinem bisherigen Verhalten nicht Gewähr bietet, dass er als Motorfahrzeugführer die Vorschriften beachten und auf die Mitmenschen Rücksicht nehmen werde. Diese Sicherungsmassnahme wird auf unbestimmte Zeit angeordnet, da nicht voraussehbar ist, ob und wann sich der Charakter des Betroffenen zum Guten wandle. Der Zweck des Sicherungsentzugs ist in erster Linie, die Verkehrssicherheit zu gewährleisten. Somit kommt er nur in Betracht, wenn bei einer Person Charaktermerkmale, die für die Eignung im Verkehr erheblich sind, darauf hindeuten, dass sie als Motorfahrzeugführer die Vorschriften nicht beachten und auf ihre Mitmenschen keine Rücksicht nehmen werde (vgl. BGE 102 Ib 63 E. 3). Selbst wenn im vorliegenden Fall die Arbeitsscheu des Beschwerdeführers nachgewiesen wäre, liesse sich jedoch daraus nicht schliessen, ihm fehle die charakterliche Eignung zum Führen eines Motorfahrzeuges. Auch aus Verstössen gegen das Strafgesetz kann nicht in verallgemeinernder Weise gefolgert werden, dem Täter fehle die Eignung als Lenker im Verkehr. Aus verübten Straftaten lassen sich zwar Rückschlüsse auf bestimmte Charaktereigenschaften eines Täters ziehen; hinsichtlich dessen Eignung als Motorfahrzeugführer haben sie aber nur die Bedeutung von Indizien. Die dem Beschwerdeführer zur Last gelegten Taten wiesen in keiner Weise darauf hin, dass er als Lenker eine Gefahr für den Verkehr darstellen werde. Ein Sicherungsentzug gemäss Art. 16 Abs. 1 in Verbindung mit Art. 14 Abs. 2 lit. d SVG war deshalb nicht am Platz.</w:t>
      </w:r>
    </w:p>
    <w:p>
      <w:r>
        <w:rPr>
          <w:b/>
        </w:rPr>
        <w:t>E. 2</w:t>
      </w:r>
    </w:p>
    <w:p>
      <w:r>
        <w:t>Allerdings bediente sich die frühere Praxis bei Verwendung eines Fahrzeugs zu deliktischen Zwecken regelmässig der Fiktion, beim Täter liege ein Charakterfehler im Sinne von Art. 14 Abs. 2 lit. d SVG vor. Auf den erwähnten Tatbestand kamen deshalb jeweils die Bestimmungen über den Sicherungsentzug zur Anwendung. Aus den in Erwägung 1 genannten BGE 104 Ib 95 S. 98 Gründen war diese Praxis fragwürdig. Dem wollte der Gesetzgeber abhelfen, indem er mit dem Bundesgesetz vom 20. März 1975 (Inkrafttreten am 1. August 1975) den in Art. 16 Abs. 3 SVG aufgezählten Entzugsgründen lit. f neu beifügte. Nach dieser Bestimmung muss der Ausweis entzogen werden, wenn der Führer ein Motorfahrzeug zur Begehung eines Verbrechens oder mehrmals zu vorsätzlichen Vergehen verwendet hat. Mit dieser ausdrücklichen Regelung wurde die frühere Praxis hinfällig. Der neu eingefügte Entzugstatbestand dient nicht in erster Linie der Förderung der Verkehrssicherheit, sondern bezweckt eine wirksamere Verbrechensbekämpfung (BBl 1973 II S. 1183). Es handelt sich somit um eine der strafrechtlichen Sanktion ähnliche, aber dennoch von ihr unabhängige Verwaltungsmassnahme, die mit Rücksicht auf ihre Stellung im System der Bestimmungen über den Führerausweisentzug anzuwenden ist (siehe dazu BGE 102 Ib 60 f.). Da nach der neuen Regelung die besonderen Voraussetzungen für den Sicherungsentzug nicht gegeben sein müssen, ist die Massnahme nach Art. 16 Abs. 3 lit. f SVG auch dann zu verhängen, wenn das Verhalten eines Delinquenten einen Sicherungsentzug nach Art. 16 Abs. 1 in Verbindung mit Art. 14 Abs. 2 lit. d SVG nicht rechtfertigt, weil die Straftaten, welche unter Verwendung eines Fahrzeugs begangen worden sind, nicht darauf schliessen lassen, dass eine Neigung zu verkehrsgefährdendem Verhalten vorliege. In solchen Fällen müssen alsdann die Regeln über die zeitlich beschränkten Warnungsentzüge entsprechende Anwendung finden (vgl. BGE 102 Ib 61 ). Ein Sicherungsentzug bleibt selbstverständlich weiterhin möglich, wenn dessen besondere Voraussetzungen (Art. 14 Abs. 2 lit. d/ Art. 16 Abs. 1 SVG ) gegeben sind.</w:t>
      </w:r>
    </w:p>
    <w:p>
      <w:r>
        <w:rPr>
          <w:b/>
        </w:rPr>
        <w:t>E. 3</w:t>
      </w:r>
    </w:p>
    <w:p>
      <w:r>
        <w:t>Im vorliegenden Fall sind die Voraussetzungen für die Anwendung von Art. 16 Abs. 3 lit. f SVG ohne Zweifel gegeben. Ein befristeter Entzug des Führerausweises ist demnach unumgänglich. Nach Art. 17 Abs. 1 SVG ist der Entzug auf eine bestimmte Dauer festzusetzen; diese bemisst sich nach den Umständen. Bei deren Würdigung sind insbesondere die Schwere des Verschuldens, der Leumund als Motorfahrzeugführer sowie die berufliche Notwendigkeit, ein Motorfahrzeug zu führen, zu berücksichtigen ( Art. 33 Abs. 2 VZV ). BGE 104 Ib 95 S. 99 Da der Beschwerdeführer von Anfang an die Rechtswidrigkeit der gemeinsam mit seinen Komplizen begangenen Taten in ihrer ganzen Tragweite erkennen musste, wiegt sein Verschulden schwer. Anderseits ist zu beachten, dass der Strafrichter dem Beschwerdeführer aufgrund einer gründlichen Prüfung der persönlichen Verhältnisse den bedingten Strafvollzug gewährt hat. Damit stellt ihm der Richter eine günstige Prognose für die Zukunft; der spezialpräventiven Funktion der Strafe wird vorrangige Bedeutung eingeräumt. Da es sich hier um einen Führerausweisentzug wegen der Begehung gemeinrechtlicher Delikte und nicht um einen Entzug wegen Fehlverhaltens im Verkehr handelt, hat sich die Administrativbehörde in erhöhtem Masse vom Strafurteil leiten zu lassen. Wenn der Richter die Rechtswohltat des Strafaufschubs als angemessen erachtet, hat die Behörde dies bei der Festsetzung der Dauer des Ausweisentzugs angemessen zu berücksichtigen. Ausserdem fällt in Betracht, dass der automobilistische Leumund des Beschwerdeführers bisher durch keine verkehrsrechtlichen Massnahmen getrübt worden ist.</w:t>
      </w:r>
    </w:p>
    <w:p>
      <w:r>
        <w:rPr>
          <w:b/>
        </w:rPr>
        <w:t>E. 4</w:t>
      </w:r>
    </w:p>
    <w:p>
      <w:r>
        <w:t>Daraus ergibt sich, dass die von den luzernischen Behörden angeordnete Massnahme ihrer Natur und Dauer nach Bundesrecht verletzt. Da die Festsetzung der Dauer eines Warnungsentzugs im Ermessen der Behörde liegt, ist die Sache zu neuer Entscheidung an das Amt für Verkehr zurückzuweisen. Zieht man in Betracht, dass die Dauer des Entzugs nunmehr ungefähr 16 Monate beträgt, wird sich ein längerer Entzug kaum mehr rechtfertigen lassen. Eine neue Fahrprüfung als Bedingung der Wiedererteilung des Ausweises kann nur angeordnet werden, wenn begründete Zweifel an der Eignung des Beschwerdeführers bestehen ( Art. 14 Abs. 3 SVG ). Auch darüber wird das Amt nach pflichtgemässem Ermessen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